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F1" w:rsidRPr="003F55F1" w:rsidRDefault="003F55F1" w:rsidP="003F55F1">
      <w:pPr>
        <w:rPr>
          <w:rFonts w:ascii="Arial" w:hAnsi="Arial" w:cs="Arial"/>
          <w:b/>
          <w:color w:val="000000"/>
          <w:sz w:val="24"/>
          <w:szCs w:val="24"/>
        </w:rPr>
      </w:pPr>
      <w:r w:rsidRPr="003F55F1">
        <w:rPr>
          <w:rFonts w:ascii="Arial" w:hAnsi="Arial" w:cs="Arial"/>
          <w:b/>
          <w:color w:val="000000"/>
          <w:sz w:val="24"/>
          <w:szCs w:val="24"/>
        </w:rPr>
        <w:t>Incentive Program for 2015 Includes Several New Factors</w:t>
      </w:r>
    </w:p>
    <w:p w:rsidR="003F55F1" w:rsidRDefault="003F55F1" w:rsidP="003F55F1">
      <w:pPr>
        <w:rPr>
          <w:rFonts w:ascii="Arial" w:hAnsi="Arial" w:cs="Arial"/>
          <w:color w:val="000000"/>
          <w:sz w:val="24"/>
          <w:szCs w:val="24"/>
        </w:rPr>
      </w:pPr>
    </w:p>
    <w:p w:rsidR="003F55F1" w:rsidRDefault="003F55F1" w:rsidP="003F55F1">
      <w:pPr>
        <w:rPr>
          <w:color w:val="000000"/>
        </w:rPr>
      </w:pPr>
      <w:r>
        <w:rPr>
          <w:rFonts w:ascii="Arial" w:hAnsi="Arial" w:cs="Arial"/>
          <w:color w:val="000000"/>
          <w:sz w:val="24"/>
          <w:szCs w:val="24"/>
        </w:rPr>
        <w:t>Dear HFPN Member,</w:t>
      </w:r>
    </w:p>
    <w:p w:rsidR="003F55F1" w:rsidRDefault="003F55F1" w:rsidP="003F55F1">
      <w:pPr>
        <w:rPr>
          <w:color w:val="000000"/>
        </w:rPr>
      </w:pPr>
      <w:r>
        <w:rPr>
          <w:color w:val="000000"/>
        </w:rPr>
        <w:t> </w:t>
      </w:r>
    </w:p>
    <w:p w:rsidR="003F55F1" w:rsidRDefault="003F55F1" w:rsidP="003F55F1">
      <w:pPr>
        <w:rPr>
          <w:color w:val="000000"/>
        </w:rPr>
      </w:pPr>
      <w:r>
        <w:rPr>
          <w:rFonts w:ascii="Arial" w:hAnsi="Arial" w:cs="Arial"/>
          <w:color w:val="000000"/>
          <w:sz w:val="24"/>
          <w:szCs w:val="24"/>
        </w:rPr>
        <w:t>Steps that will both improve patient outcomes and save costs are integral to the success of the HFPN. But for them to really work, they have got to make sense in the real-world setting of a physician’s office.</w:t>
      </w:r>
    </w:p>
    <w:p w:rsidR="003F55F1" w:rsidRDefault="003F55F1" w:rsidP="003F55F1">
      <w:pPr>
        <w:rPr>
          <w:color w:val="000000"/>
        </w:rPr>
      </w:pPr>
      <w:r>
        <w:rPr>
          <w:color w:val="000000"/>
        </w:rPr>
        <w:t> </w:t>
      </w:r>
      <w:bookmarkStart w:id="0" w:name="_GoBack"/>
      <w:bookmarkEnd w:id="0"/>
    </w:p>
    <w:p w:rsidR="003F55F1" w:rsidRDefault="003F55F1" w:rsidP="003F55F1">
      <w:pPr>
        <w:rPr>
          <w:color w:val="000000"/>
        </w:rPr>
      </w:pPr>
      <w:r>
        <w:rPr>
          <w:rFonts w:ascii="Arial" w:hAnsi="Arial" w:cs="Arial"/>
          <w:color w:val="000000"/>
          <w:sz w:val="24"/>
          <w:szCs w:val="24"/>
        </w:rPr>
        <w:t xml:space="preserve">The 2015 HFPN incentive distribution model includes several key factors that will accomplish these goals. A grid that details Attribution, Metrics, Targets, Threshold and Incentive Scoring can be found under the “For HFPN Members” tab of the </w:t>
      </w:r>
      <w:hyperlink r:id="rId5" w:tgtFrame="_blank" w:history="1">
        <w:r>
          <w:rPr>
            <w:rStyle w:val="Hyperlink"/>
            <w:rFonts w:ascii="Arial" w:hAnsi="Arial" w:cs="Arial"/>
            <w:sz w:val="24"/>
            <w:szCs w:val="24"/>
          </w:rPr>
          <w:t>HFPN website</w:t>
        </w:r>
      </w:hyperlink>
      <w:r>
        <w:rPr>
          <w:rFonts w:ascii="Arial" w:hAnsi="Arial" w:cs="Arial"/>
          <w:color w:val="000000"/>
          <w:sz w:val="24"/>
          <w:szCs w:val="24"/>
        </w:rPr>
        <w:t>. Please note: y</w:t>
      </w:r>
      <w:r>
        <w:rPr>
          <w:rFonts w:ascii="Arial" w:hAnsi="Arial" w:cs="Arial"/>
          <w:color w:val="000000"/>
          <w:sz w:val="24"/>
          <w:szCs w:val="24"/>
          <w:shd w:val="clear" w:color="auto" w:fill="FFFFFF"/>
        </w:rPr>
        <w:t xml:space="preserve">ou must </w:t>
      </w:r>
      <w:hyperlink r:id="rId6" w:tgtFrame="_blank" w:history="1">
        <w:r>
          <w:rPr>
            <w:rStyle w:val="Hyperlink"/>
            <w:rFonts w:ascii="Arial" w:hAnsi="Arial" w:cs="Arial"/>
            <w:sz w:val="24"/>
            <w:szCs w:val="24"/>
            <w:shd w:val="clear" w:color="auto" w:fill="FFFFFF"/>
          </w:rPr>
          <w:t>declare your participation</w:t>
        </w:r>
      </w:hyperlink>
      <w:r>
        <w:rPr>
          <w:rFonts w:ascii="Arial" w:hAnsi="Arial" w:cs="Arial"/>
          <w:color w:val="000000"/>
          <w:sz w:val="24"/>
          <w:szCs w:val="24"/>
          <w:shd w:val="clear" w:color="auto" w:fill="FFFFFF"/>
        </w:rPr>
        <w:t xml:space="preserve"> in Choosing Wisely by </w:t>
      </w:r>
      <w:r>
        <w:rPr>
          <w:rFonts w:ascii="Arial" w:hAnsi="Arial" w:cs="Arial"/>
          <w:b/>
          <w:bCs/>
          <w:color w:val="000000"/>
          <w:sz w:val="24"/>
          <w:szCs w:val="24"/>
          <w:shd w:val="clear" w:color="auto" w:fill="FFFFFF"/>
        </w:rPr>
        <w:t>Friday, May 15</w:t>
      </w:r>
      <w:r>
        <w:rPr>
          <w:rFonts w:ascii="Arial" w:hAnsi="Arial" w:cs="Arial"/>
          <w:color w:val="000000"/>
          <w:sz w:val="24"/>
          <w:szCs w:val="24"/>
          <w:shd w:val="clear" w:color="auto" w:fill="FFFFFF"/>
        </w:rPr>
        <w:t>, which is an extension from the original date.</w:t>
      </w:r>
    </w:p>
    <w:p w:rsidR="003F55F1" w:rsidRDefault="003F55F1" w:rsidP="003F55F1">
      <w:pPr>
        <w:rPr>
          <w:color w:val="000000"/>
        </w:rPr>
      </w:pPr>
      <w:r>
        <w:rPr>
          <w:color w:val="000000"/>
        </w:rPr>
        <w:t> </w:t>
      </w:r>
    </w:p>
    <w:p w:rsidR="003F55F1" w:rsidRDefault="003F55F1" w:rsidP="003F55F1">
      <w:pPr>
        <w:rPr>
          <w:color w:val="000000"/>
        </w:rPr>
      </w:pPr>
      <w:r>
        <w:rPr>
          <w:rFonts w:ascii="Arial" w:hAnsi="Arial" w:cs="Arial"/>
          <w:color w:val="000000"/>
          <w:sz w:val="24"/>
          <w:szCs w:val="24"/>
        </w:rPr>
        <w:t xml:space="preserve">The following is </w:t>
      </w:r>
      <w:proofErr w:type="gramStart"/>
      <w:r>
        <w:rPr>
          <w:rFonts w:ascii="Arial" w:hAnsi="Arial" w:cs="Arial"/>
          <w:color w:val="000000"/>
          <w:sz w:val="24"/>
          <w:szCs w:val="24"/>
        </w:rPr>
        <w:t>a brief synopsis of the 2015 Incentive Plan to help you better understand</w:t>
      </w:r>
      <w:proofErr w:type="gramEnd"/>
      <w:r>
        <w:rPr>
          <w:rFonts w:ascii="Arial" w:hAnsi="Arial" w:cs="Arial"/>
          <w:color w:val="000000"/>
          <w:sz w:val="24"/>
          <w:szCs w:val="24"/>
        </w:rPr>
        <w:t xml:space="preserve"> what you must do to contribute to and share in the success of the HFPN this calendar year:</w:t>
      </w:r>
    </w:p>
    <w:p w:rsidR="003F55F1" w:rsidRDefault="003F55F1" w:rsidP="003F55F1">
      <w:pPr>
        <w:rPr>
          <w:color w:val="000000"/>
        </w:rPr>
      </w:pPr>
      <w:r>
        <w:rPr>
          <w:color w:val="000000"/>
        </w:rPr>
        <w:t> </w:t>
      </w:r>
    </w:p>
    <w:p w:rsidR="003F55F1" w:rsidRDefault="003F55F1" w:rsidP="003F55F1">
      <w:pPr>
        <w:rPr>
          <w:color w:val="000000"/>
        </w:rPr>
      </w:pPr>
      <w:r>
        <w:rPr>
          <w:rFonts w:ascii="Arial" w:hAnsi="Arial" w:cs="Arial"/>
          <w:b/>
          <w:bCs/>
          <w:color w:val="000000"/>
          <w:sz w:val="24"/>
          <w:szCs w:val="24"/>
        </w:rPr>
        <w:t>Level 1: Clinical Practice</w:t>
      </w:r>
    </w:p>
    <w:p w:rsidR="003F55F1" w:rsidRDefault="003F55F1" w:rsidP="003F55F1">
      <w:pPr>
        <w:rPr>
          <w:color w:val="000000"/>
        </w:rPr>
      </w:pPr>
      <w:r>
        <w:rPr>
          <w:color w:val="000000"/>
        </w:rPr>
        <w:t> </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Cost of Care</w:t>
      </w:r>
      <w:r>
        <w:rPr>
          <w:rFonts w:ascii="Arial" w:hAnsi="Arial" w:cs="Arial"/>
          <w:color w:val="000000"/>
          <w:sz w:val="24"/>
          <w:szCs w:val="24"/>
        </w:rPr>
        <w:t xml:space="preserve"> — </w:t>
      </w:r>
      <w:proofErr w:type="gramStart"/>
      <w:r>
        <w:rPr>
          <w:rFonts w:ascii="Arial" w:hAnsi="Arial" w:cs="Arial"/>
          <w:color w:val="000000"/>
          <w:sz w:val="24"/>
          <w:szCs w:val="24"/>
        </w:rPr>
        <w:t>As</w:t>
      </w:r>
      <w:proofErr w:type="gramEnd"/>
      <w:r>
        <w:rPr>
          <w:rFonts w:ascii="Arial" w:hAnsi="Arial" w:cs="Arial"/>
          <w:color w:val="000000"/>
          <w:sz w:val="24"/>
          <w:szCs w:val="24"/>
        </w:rPr>
        <w:t xml:space="preserve"> was the case in 2014, we are monitoring the Per Member Per Month (PMPM) cost of care. </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Emergency Department (ED) visits/1,000</w:t>
      </w:r>
      <w:r>
        <w:rPr>
          <w:rFonts w:ascii="Arial" w:hAnsi="Arial" w:cs="Arial"/>
          <w:color w:val="000000"/>
          <w:sz w:val="24"/>
          <w:szCs w:val="24"/>
        </w:rPr>
        <w:t xml:space="preserve"> — Decreasing ED visits is a key factor in lowering costs and improving care. </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 xml:space="preserve">Blood Pressure Control </w:t>
      </w:r>
      <w:r>
        <w:rPr>
          <w:rFonts w:ascii="Arial" w:hAnsi="Arial" w:cs="Arial"/>
          <w:color w:val="000000"/>
          <w:sz w:val="24"/>
          <w:szCs w:val="24"/>
        </w:rPr>
        <w:t xml:space="preserve">— Taking steps to manage this health indicator is supported by the Measure Up/Pressure </w:t>
      </w:r>
      <w:proofErr w:type="gramStart"/>
      <w:r>
        <w:rPr>
          <w:rFonts w:ascii="Arial" w:hAnsi="Arial" w:cs="Arial"/>
          <w:color w:val="000000"/>
          <w:sz w:val="24"/>
          <w:szCs w:val="24"/>
        </w:rPr>
        <w:t>Down</w:t>
      </w:r>
      <w:proofErr w:type="gramEnd"/>
      <w:r>
        <w:rPr>
          <w:rFonts w:ascii="Arial" w:hAnsi="Arial" w:cs="Arial"/>
          <w:color w:val="000000"/>
          <w:sz w:val="24"/>
          <w:szCs w:val="24"/>
        </w:rPr>
        <w:t xml:space="preserve"> program.</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 xml:space="preserve">Diabetes Control </w:t>
      </w:r>
      <w:r>
        <w:rPr>
          <w:rFonts w:ascii="Arial" w:hAnsi="Arial" w:cs="Arial"/>
          <w:color w:val="000000"/>
          <w:sz w:val="24"/>
          <w:szCs w:val="24"/>
        </w:rPr>
        <w:t>— Engaging patients with A1C scores greater than 9 is vital to their improved health. The HFPN has a Diabetes Education team that offers resources at little or no cost for patients to manage and improve their condition.</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 xml:space="preserve">Colon Cancer Screening </w:t>
      </w:r>
      <w:r>
        <w:rPr>
          <w:rFonts w:ascii="Arial" w:hAnsi="Arial" w:cs="Arial"/>
          <w:color w:val="000000"/>
          <w:sz w:val="24"/>
          <w:szCs w:val="24"/>
        </w:rPr>
        <w:t>— Increase the percentage of patients who are screened for colon cancer to directly impact both patient health and overall costs.</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Patient Satisfaction</w:t>
      </w:r>
      <w:r>
        <w:rPr>
          <w:rFonts w:ascii="Arial" w:hAnsi="Arial" w:cs="Arial"/>
          <w:color w:val="000000"/>
          <w:sz w:val="24"/>
          <w:szCs w:val="24"/>
        </w:rPr>
        <w:t xml:space="preserve"> — </w:t>
      </w:r>
      <w:proofErr w:type="gramStart"/>
      <w:r>
        <w:rPr>
          <w:rFonts w:ascii="Arial" w:hAnsi="Arial" w:cs="Arial"/>
          <w:color w:val="000000"/>
          <w:sz w:val="24"/>
          <w:szCs w:val="24"/>
        </w:rPr>
        <w:t>Receiving</w:t>
      </w:r>
      <w:proofErr w:type="gramEnd"/>
      <w:r>
        <w:rPr>
          <w:rFonts w:ascii="Arial" w:hAnsi="Arial" w:cs="Arial"/>
          <w:color w:val="000000"/>
          <w:sz w:val="24"/>
          <w:szCs w:val="24"/>
        </w:rPr>
        <w:t xml:space="preserve"> feedback is vital to understanding effectiveness.</w:t>
      </w:r>
    </w:p>
    <w:p w:rsidR="003F55F1" w:rsidRDefault="003F55F1" w:rsidP="003F55F1">
      <w:pPr>
        <w:rPr>
          <w:color w:val="000000"/>
        </w:rPr>
      </w:pPr>
      <w:r>
        <w:rPr>
          <w:color w:val="000000"/>
        </w:rPr>
        <w:t> </w:t>
      </w:r>
    </w:p>
    <w:p w:rsidR="003F55F1" w:rsidRDefault="003F55F1" w:rsidP="003F55F1">
      <w:pPr>
        <w:rPr>
          <w:color w:val="000000"/>
        </w:rPr>
      </w:pPr>
      <w:r>
        <w:rPr>
          <w:rFonts w:ascii="Arial" w:hAnsi="Arial" w:cs="Arial"/>
          <w:b/>
          <w:bCs/>
          <w:color w:val="000000"/>
          <w:sz w:val="24"/>
          <w:szCs w:val="24"/>
        </w:rPr>
        <w:t>Level 2: Professionalism</w:t>
      </w:r>
      <w:r>
        <w:rPr>
          <w:rFonts w:ascii="Arial" w:hAnsi="Arial" w:cs="Arial"/>
          <w:color w:val="000000"/>
          <w:sz w:val="24"/>
          <w:szCs w:val="24"/>
        </w:rPr>
        <w:t>*</w:t>
      </w:r>
    </w:p>
    <w:p w:rsidR="003F55F1" w:rsidRDefault="003F55F1" w:rsidP="003F55F1">
      <w:pPr>
        <w:rPr>
          <w:color w:val="000000"/>
        </w:rPr>
      </w:pPr>
      <w:r>
        <w:rPr>
          <w:color w:val="000000"/>
        </w:rPr>
        <w:t> </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 xml:space="preserve">Active participation in ABIM </w:t>
      </w:r>
      <w:hyperlink r:id="rId7" w:tgtFrame="_blank" w:history="1">
        <w:r>
          <w:rPr>
            <w:rStyle w:val="Hyperlink"/>
            <w:rFonts w:ascii="Arial" w:hAnsi="Arial" w:cs="Arial"/>
            <w:b/>
            <w:bCs/>
            <w:sz w:val="24"/>
            <w:szCs w:val="24"/>
          </w:rPr>
          <w:t>Choosing Wisely</w:t>
        </w:r>
      </w:hyperlink>
      <w:r>
        <w:rPr>
          <w:rFonts w:ascii="Arial" w:hAnsi="Arial" w:cs="Arial"/>
          <w:b/>
          <w:bCs/>
          <w:color w:val="000000"/>
          <w:sz w:val="24"/>
          <w:szCs w:val="24"/>
        </w:rPr>
        <w:t xml:space="preserve"> Campaign</w:t>
      </w:r>
      <w:r>
        <w:rPr>
          <w:rFonts w:ascii="Arial" w:hAnsi="Arial" w:cs="Arial"/>
          <w:color w:val="000000"/>
          <w:sz w:val="24"/>
          <w:szCs w:val="24"/>
        </w:rPr>
        <w:t xml:space="preserve"> — Document and share how you integrated this program into your practice.</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 xml:space="preserve">Active participation in AMGF </w:t>
      </w:r>
      <w:hyperlink r:id="rId8" w:tgtFrame="_blank" w:history="1">
        <w:proofErr w:type="gramStart"/>
        <w:r>
          <w:rPr>
            <w:rStyle w:val="Hyperlink"/>
            <w:rFonts w:ascii="Arial" w:hAnsi="Arial" w:cs="Arial"/>
            <w:b/>
            <w:bCs/>
            <w:sz w:val="24"/>
            <w:szCs w:val="24"/>
          </w:rPr>
          <w:t>Measure Up/Pressure Down</w:t>
        </w:r>
      </w:hyperlink>
      <w:proofErr w:type="gramEnd"/>
      <w:r>
        <w:rPr>
          <w:rFonts w:ascii="Arial" w:hAnsi="Arial" w:cs="Arial"/>
          <w:b/>
          <w:bCs/>
          <w:color w:val="000000"/>
          <w:sz w:val="24"/>
          <w:szCs w:val="24"/>
        </w:rPr>
        <w:t xml:space="preserve"> Campaign</w:t>
      </w:r>
      <w:r>
        <w:rPr>
          <w:rFonts w:ascii="Arial" w:hAnsi="Arial" w:cs="Arial"/>
          <w:color w:val="000000"/>
          <w:sz w:val="24"/>
          <w:szCs w:val="24"/>
        </w:rPr>
        <w:t xml:space="preserve"> — Document and share how you integrated this program into your practice.</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Service</w:t>
      </w:r>
      <w:r>
        <w:rPr>
          <w:rFonts w:ascii="Arial" w:hAnsi="Arial" w:cs="Arial"/>
          <w:color w:val="000000"/>
          <w:sz w:val="24"/>
          <w:szCs w:val="24"/>
        </w:rPr>
        <w:t xml:space="preserve"> — Serve on a Committee of the Board of Trustees.</w:t>
      </w:r>
    </w:p>
    <w:p w:rsidR="003F55F1" w:rsidRDefault="003F55F1" w:rsidP="003F55F1">
      <w:pPr>
        <w:pStyle w:val="ListParagraph"/>
        <w:spacing w:after="0" w:line="240" w:lineRule="auto"/>
        <w:ind w:hanging="360"/>
        <w:rPr>
          <w:color w:val="000000"/>
        </w:rPr>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color w:val="000000"/>
          <w:sz w:val="24"/>
          <w:szCs w:val="24"/>
        </w:rPr>
        <w:t>Education</w:t>
      </w:r>
      <w:r>
        <w:rPr>
          <w:rFonts w:ascii="Arial" w:hAnsi="Arial" w:cs="Arial"/>
          <w:color w:val="000000"/>
          <w:sz w:val="24"/>
          <w:szCs w:val="24"/>
        </w:rPr>
        <w:t xml:space="preserve"> — Complete at least one HFPN-endorsed Health Stream Module</w:t>
      </w:r>
    </w:p>
    <w:p w:rsidR="003F55F1" w:rsidRDefault="003F55F1" w:rsidP="003F55F1">
      <w:pPr>
        <w:rPr>
          <w:color w:val="000000"/>
        </w:rPr>
      </w:pPr>
      <w:r>
        <w:rPr>
          <w:color w:val="000000"/>
        </w:rPr>
        <w:t> </w:t>
      </w:r>
    </w:p>
    <w:p w:rsidR="003F55F1" w:rsidRDefault="003F55F1" w:rsidP="003F55F1">
      <w:pPr>
        <w:rPr>
          <w:color w:val="000000"/>
        </w:rPr>
      </w:pPr>
      <w:r>
        <w:rPr>
          <w:rFonts w:ascii="Arial" w:hAnsi="Arial" w:cs="Arial"/>
          <w:color w:val="000000"/>
          <w:sz w:val="24"/>
          <w:szCs w:val="24"/>
        </w:rPr>
        <w:t>* You must complete two of the four activities achieve to Professional Metric; a minimum of one point must be achieved for any incentive payment.</w:t>
      </w:r>
    </w:p>
    <w:p w:rsidR="003F55F1" w:rsidRDefault="003F55F1" w:rsidP="003F55F1">
      <w:pPr>
        <w:rPr>
          <w:color w:val="000000"/>
        </w:rPr>
      </w:pPr>
      <w:r>
        <w:rPr>
          <w:color w:val="000000"/>
        </w:rPr>
        <w:t> </w:t>
      </w:r>
    </w:p>
    <w:p w:rsidR="003F55F1" w:rsidRDefault="003F55F1" w:rsidP="003F55F1">
      <w:pPr>
        <w:rPr>
          <w:color w:val="000000"/>
        </w:rPr>
      </w:pPr>
      <w:r>
        <w:rPr>
          <w:rFonts w:ascii="Arial" w:hAnsi="Arial" w:cs="Arial"/>
          <w:color w:val="000000"/>
        </w:rPr>
        <w:lastRenderedPageBreak/>
        <w:t>Regards,</w:t>
      </w:r>
    </w:p>
    <w:p w:rsidR="003F55F1" w:rsidRDefault="003F55F1" w:rsidP="003F55F1">
      <w:pPr>
        <w:rPr>
          <w:rFonts w:ascii="Arial" w:hAnsi="Arial" w:cs="Arial"/>
          <w:color w:val="000000"/>
        </w:rPr>
      </w:pPr>
    </w:p>
    <w:p w:rsidR="003F55F1" w:rsidRDefault="003F55F1" w:rsidP="003F55F1">
      <w:pPr>
        <w:rPr>
          <w:color w:val="000000"/>
        </w:rPr>
      </w:pPr>
      <w:r>
        <w:rPr>
          <w:rFonts w:ascii="Arial" w:hAnsi="Arial" w:cs="Arial"/>
          <w:color w:val="000000"/>
        </w:rPr>
        <w:t>Charles Kelly, D.O.</w:t>
      </w:r>
    </w:p>
    <w:p w:rsidR="003F55F1" w:rsidRDefault="003F55F1" w:rsidP="003F55F1">
      <w:pPr>
        <w:rPr>
          <w:color w:val="000000"/>
        </w:rPr>
      </w:pPr>
      <w:r>
        <w:rPr>
          <w:rFonts w:ascii="Arial" w:hAnsi="Arial" w:cs="Arial"/>
          <w:color w:val="000000"/>
        </w:rPr>
        <w:t>President and CEO, HFPN</w:t>
      </w:r>
    </w:p>
    <w:p w:rsidR="003F55F1" w:rsidRDefault="003F55F1" w:rsidP="003F55F1">
      <w:pPr>
        <w:rPr>
          <w:color w:val="000000"/>
        </w:rPr>
      </w:pPr>
      <w:r>
        <w:rPr>
          <w:color w:val="000000"/>
        </w:rPr>
        <w:t> </w:t>
      </w:r>
    </w:p>
    <w:p w:rsidR="004B3BF2" w:rsidRDefault="004B3BF2"/>
    <w:sectPr w:rsidR="004B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F1"/>
    <w:rsid w:val="003F55F1"/>
    <w:rsid w:val="004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5F1"/>
    <w:rPr>
      <w:color w:val="0000FF"/>
      <w:u w:val="single"/>
    </w:rPr>
  </w:style>
  <w:style w:type="paragraph" w:styleId="ListParagraph">
    <w:name w:val="List Paragraph"/>
    <w:basedOn w:val="Normal"/>
    <w:uiPriority w:val="34"/>
    <w:qFormat/>
    <w:rsid w:val="003F55F1"/>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5F1"/>
    <w:rPr>
      <w:color w:val="0000FF"/>
      <w:u w:val="single"/>
    </w:rPr>
  </w:style>
  <w:style w:type="paragraph" w:styleId="ListParagraph">
    <w:name w:val="List Paragraph"/>
    <w:basedOn w:val="Normal"/>
    <w:uiPriority w:val="34"/>
    <w:qFormat/>
    <w:rsid w:val="003F55F1"/>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sureuppressuredown.com/" TargetMode="External"/><Relationship Id="rId3" Type="http://schemas.openxmlformats.org/officeDocument/2006/relationships/settings" Target="settings.xml"/><Relationship Id="rId7" Type="http://schemas.openxmlformats.org/officeDocument/2006/relationships/hyperlink" Target="http://www.choosingwisel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m/s/MZM6VXY" TargetMode="External"/><Relationship Id="rId5" Type="http://schemas.openxmlformats.org/officeDocument/2006/relationships/hyperlink" Target="http://www.henryford.com/body_physiciannetwork.cfm?id=536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Nehr, Cyndy</dc:creator>
  <cp:lastModifiedBy>Nehr, Cyndy</cp:lastModifiedBy>
  <cp:revision>1</cp:revision>
  <dcterms:created xsi:type="dcterms:W3CDTF">2015-04-16T18:01:00Z</dcterms:created>
  <dcterms:modified xsi:type="dcterms:W3CDTF">2015-04-16T18:02:00Z</dcterms:modified>
</cp:coreProperties>
</file>